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084A55" w:rsidRDefault="001F5899" w:rsidP="0070686A">
            <w:pPr>
              <w:pStyle w:val="1"/>
            </w:pPr>
          </w:p>
        </w:tc>
      </w:tr>
    </w:tbl>
    <w:p w:rsidR="005A27E6" w:rsidRDefault="0060037E" w:rsidP="008579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</w:t>
      </w:r>
    </w:p>
    <w:p w:rsidR="00CD21C8" w:rsidRDefault="00CD21C8" w:rsidP="005A27E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0037E" w:rsidRPr="00681FCC" w:rsidRDefault="009F58A0" w:rsidP="009F58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160DE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proofErr w:type="spellStart"/>
      <w:r w:rsidR="00B160DE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B160DE">
        <w:rPr>
          <w:rFonts w:ascii="Times New Roman" w:hAnsi="Times New Roman" w:cs="Times New Roman"/>
          <w:sz w:val="28"/>
          <w:szCs w:val="28"/>
        </w:rPr>
        <w:t xml:space="preserve"> района Курской области проведена проверка по обращению пенсионера о нарушении его прав на доплату к трудовой пенсии.</w:t>
      </w:r>
      <w:r w:rsidR="0060037E" w:rsidRPr="00681F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9F58A0" w:rsidRDefault="003302CF" w:rsidP="009F58A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02CF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804B10">
        <w:rPr>
          <w:rFonts w:ascii="Times New Roman" w:hAnsi="Times New Roman"/>
          <w:sz w:val="28"/>
          <w:szCs w:val="28"/>
        </w:rPr>
        <w:t xml:space="preserve">установлено, </w:t>
      </w:r>
      <w:r w:rsidR="009F58A0">
        <w:rPr>
          <w:rFonts w:ascii="Times New Roman" w:hAnsi="Times New Roman"/>
          <w:sz w:val="28"/>
          <w:szCs w:val="28"/>
        </w:rPr>
        <w:t xml:space="preserve">что пенсионеру с 2015 года назначена </w:t>
      </w:r>
      <w:r w:rsidR="009F58A0">
        <w:rPr>
          <w:rFonts w:ascii="Times New Roman" w:hAnsi="Times New Roman"/>
          <w:sz w:val="28"/>
          <w:szCs w:val="28"/>
        </w:rPr>
        <w:t>ежемесячная доплата к пенсии по инвалидности</w:t>
      </w:r>
      <w:r w:rsidR="009F58A0">
        <w:rPr>
          <w:rFonts w:ascii="Times New Roman" w:hAnsi="Times New Roman"/>
          <w:sz w:val="28"/>
          <w:szCs w:val="28"/>
        </w:rPr>
        <w:t>.</w:t>
      </w:r>
    </w:p>
    <w:p w:rsidR="009F58A0" w:rsidRDefault="009F58A0" w:rsidP="009F58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Порядок</w:t>
      </w:r>
      <w:r>
        <w:rPr>
          <w:rFonts w:ascii="Times New Roman" w:hAnsi="Times New Roman" w:cs="Times New Roman"/>
          <w:sz w:val="28"/>
          <w:szCs w:val="28"/>
        </w:rPr>
        <w:t xml:space="preserve"> перерасчета размера ежемесячной доплаты к трудовой пенсии и ее индексации, установленный решением Собрания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  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27.06.2015, в соответствие с указанными изменениями не приведен.</w:t>
      </w:r>
    </w:p>
    <w:p w:rsidR="009129C6" w:rsidRDefault="00D02263" w:rsidP="00804B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Указанным Порядком установлено, что при установлении доплаты к трудовой пенсии лицам, осуществлявшим полномочия выборного должностного лица местного самоуправления на постоянной основе, специалист Администрации запрашивает сведения о размере денежного вознаграждения  первого заместителя Губернатора Курской области (п.5.1), также Порядком предусмотрено, что при повышении денежного вознаграждения  первого заместителя Губернатора Курской области  </w:t>
      </w:r>
      <w:r w:rsidR="009129C6">
        <w:rPr>
          <w:rFonts w:ascii="Times New Roman" w:hAnsi="Times New Roman" w:cs="Times New Roman"/>
          <w:sz w:val="28"/>
          <w:szCs w:val="28"/>
        </w:rPr>
        <w:t>ежемесячная доплата индексируется на коэффициент повышения (п. 7.4), перерасчет осуществляется администрацией сельсовета (п. 7.5).</w:t>
      </w:r>
    </w:p>
    <w:p w:rsidR="009129C6" w:rsidRDefault="009129C6" w:rsidP="00804B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обязанность запрашивать соответствующие сведения в Администрации Курской области, касающиеся размера денежного содержания должностных лиц Курской области, возложена на Администрацию сельсовета. Однако, такие сведения Администрацией сельсовета не запрашиваются.</w:t>
      </w:r>
    </w:p>
    <w:p w:rsidR="009129C6" w:rsidRPr="009129C6" w:rsidRDefault="009129C6" w:rsidP="009F58A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proofErr w:type="gramStart"/>
      <w:r w:rsidRPr="009129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 Курской</w:t>
      </w:r>
      <w:proofErr w:type="gramEnd"/>
      <w:r w:rsidRPr="0091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от 23.12.2022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1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152-ЗКО внесен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1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1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статью 13.1 Закона Курской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129C6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гарантиях осуществления главами муниципальных образований полномочий выборных должностных лиц местного самоуправления на постоянной основе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EF7550" w:rsidRDefault="00EF7550" w:rsidP="00EF75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5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ежемесячной доплаты к страховой пенсии по старости (инвалидности) пересчитывается при повышении денежного вознаграждения министра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550" w:rsidRDefault="00EF7550" w:rsidP="00EF75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Однако, </w:t>
      </w:r>
      <w:r>
        <w:rPr>
          <w:rFonts w:ascii="Times New Roman" w:hAnsi="Times New Roman" w:cs="Times New Roman"/>
          <w:sz w:val="28"/>
          <w:szCs w:val="28"/>
        </w:rPr>
        <w:t xml:space="preserve">Порядок перерасчета размера ежемесячной доплаты к трудовой пенсии и ее индексации, установленный решением Собрания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  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27.06.2015, в соответствие с указанными изменениями не приведен.</w:t>
      </w:r>
    </w:p>
    <w:p w:rsidR="00992A29" w:rsidRDefault="00EF7550" w:rsidP="009F58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выявленными нарушениями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закона  прокурором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на Порядок перерасчета размера ежемесячной доплаты к трудовой пенсии и ее индексации, установленный решением Собрания депутатов </w:t>
      </w:r>
      <w:r w:rsidR="009F58A0">
        <w:rPr>
          <w:rFonts w:ascii="Times New Roman" w:hAnsi="Times New Roman" w:cs="Times New Roman"/>
          <w:sz w:val="28"/>
          <w:szCs w:val="28"/>
        </w:rPr>
        <w:t>сельсовета от 27.06.2015</w:t>
      </w:r>
      <w:r>
        <w:rPr>
          <w:rFonts w:ascii="Times New Roman" w:hAnsi="Times New Roman" w:cs="Times New Roman"/>
          <w:sz w:val="28"/>
          <w:szCs w:val="28"/>
        </w:rPr>
        <w:t>, принесен протест, кроме того, в адрес главы администрации сельсовета внесено представление об устранении выявленных нарушений закона.</w:t>
      </w:r>
      <w:r w:rsidR="009129C6" w:rsidRPr="0091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F58A0" w:rsidRPr="0085795B" w:rsidRDefault="009F58A0" w:rsidP="009F58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X="-142" w:tblpY="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3"/>
        <w:gridCol w:w="1701"/>
        <w:gridCol w:w="2779"/>
      </w:tblGrid>
      <w:tr w:rsidR="001921AE" w:rsidTr="00383517">
        <w:tc>
          <w:tcPr>
            <w:tcW w:w="5443" w:type="dxa"/>
            <w:vAlign w:val="bottom"/>
          </w:tcPr>
          <w:p w:rsidR="00FA01E1" w:rsidRDefault="003F25CB" w:rsidP="003F25C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330E">
              <w:rPr>
                <w:rFonts w:ascii="Times New Roman" w:hAnsi="Times New Roman" w:cs="Times New Roman"/>
                <w:sz w:val="28"/>
                <w:szCs w:val="28"/>
              </w:rPr>
              <w:t>рокурор района</w:t>
            </w:r>
          </w:p>
        </w:tc>
        <w:tc>
          <w:tcPr>
            <w:tcW w:w="1701" w:type="dxa"/>
            <w:vAlign w:val="bottom"/>
          </w:tcPr>
          <w:p w:rsidR="001921AE" w:rsidRDefault="001921AE" w:rsidP="0062330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vAlign w:val="bottom"/>
          </w:tcPr>
          <w:p w:rsidR="001921AE" w:rsidRDefault="00DF490C" w:rsidP="003F25CB">
            <w:pPr>
              <w:ind w:right="-6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50AB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="003F25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42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25C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42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25CB">
              <w:rPr>
                <w:rFonts w:ascii="Times New Roman" w:hAnsi="Times New Roman" w:cs="Times New Roman"/>
                <w:sz w:val="28"/>
                <w:szCs w:val="28"/>
              </w:rPr>
              <w:t>Сенчук</w:t>
            </w:r>
            <w:proofErr w:type="spellEnd"/>
          </w:p>
        </w:tc>
      </w:tr>
    </w:tbl>
    <w:tbl>
      <w:tblPr>
        <w:tblW w:w="9669" w:type="dxa"/>
        <w:tblLayout w:type="fixed"/>
        <w:tblLook w:val="0000" w:firstRow="0" w:lastRow="0" w:firstColumn="0" w:lastColumn="0" w:noHBand="0" w:noVBand="0"/>
      </w:tblPr>
      <w:tblGrid>
        <w:gridCol w:w="9669"/>
      </w:tblGrid>
      <w:tr w:rsidR="00503D80" w:rsidRPr="00B34B16" w:rsidTr="003F25CB">
        <w:trPr>
          <w:cantSplit/>
          <w:trHeight w:val="1318"/>
        </w:trPr>
        <w:tc>
          <w:tcPr>
            <w:tcW w:w="9669" w:type="dxa"/>
          </w:tcPr>
          <w:p w:rsidR="00A3308A" w:rsidRPr="00A3308A" w:rsidRDefault="00A3308A" w:rsidP="0062330E">
            <w:pPr>
              <w:spacing w:after="0" w:line="240" w:lineRule="auto"/>
              <w:rPr>
                <w:color w:val="BFBFBF" w:themeColor="background1" w:themeShade="BF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B22C22" w:rsidRDefault="00B22C22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6EE0" w:rsidRPr="006B7533" w:rsidRDefault="00336EE0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36EE0" w:rsidRPr="006B7533" w:rsidSect="007F20FE">
      <w:headerReference w:type="default" r:id="rId8"/>
      <w:footerReference w:type="first" r:id="rId9"/>
      <w:pgSz w:w="11906" w:h="16838"/>
      <w:pgMar w:top="1134" w:right="567" w:bottom="1134" w:left="1418" w:header="567" w:footer="3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857" w:rsidRDefault="006A0857" w:rsidP="007212FD">
      <w:pPr>
        <w:spacing w:after="0" w:line="240" w:lineRule="auto"/>
      </w:pPr>
      <w:r>
        <w:separator/>
      </w:r>
    </w:p>
  </w:endnote>
  <w:endnote w:type="continuationSeparator" w:id="0">
    <w:p w:rsidR="006A0857" w:rsidRDefault="006A0857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9F1653" w:rsidP="009F1653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  <w:proofErr w:type="spellEnd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857" w:rsidRDefault="006A0857" w:rsidP="007212FD">
      <w:pPr>
        <w:spacing w:after="0" w:line="240" w:lineRule="auto"/>
      </w:pPr>
      <w:r>
        <w:separator/>
      </w:r>
    </w:p>
  </w:footnote>
  <w:footnote w:type="continuationSeparator" w:id="0">
    <w:p w:rsidR="006A0857" w:rsidRDefault="006A0857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6A0857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84A55"/>
    <w:rsid w:val="0009006A"/>
    <w:rsid w:val="00090738"/>
    <w:rsid w:val="00092A26"/>
    <w:rsid w:val="00095729"/>
    <w:rsid w:val="000970DD"/>
    <w:rsid w:val="000A11BF"/>
    <w:rsid w:val="000A1B99"/>
    <w:rsid w:val="000A4E3C"/>
    <w:rsid w:val="000A6C9D"/>
    <w:rsid w:val="000B708E"/>
    <w:rsid w:val="000C062E"/>
    <w:rsid w:val="000C2BCD"/>
    <w:rsid w:val="000F3CD2"/>
    <w:rsid w:val="000F77A3"/>
    <w:rsid w:val="000F7BB7"/>
    <w:rsid w:val="00100C9E"/>
    <w:rsid w:val="00104F4B"/>
    <w:rsid w:val="00107179"/>
    <w:rsid w:val="00115444"/>
    <w:rsid w:val="00117E18"/>
    <w:rsid w:val="00127902"/>
    <w:rsid w:val="00134382"/>
    <w:rsid w:val="00144445"/>
    <w:rsid w:val="001501B4"/>
    <w:rsid w:val="00151B1C"/>
    <w:rsid w:val="001572B8"/>
    <w:rsid w:val="00166A1C"/>
    <w:rsid w:val="00173F90"/>
    <w:rsid w:val="00180843"/>
    <w:rsid w:val="0018208F"/>
    <w:rsid w:val="001822FA"/>
    <w:rsid w:val="00187155"/>
    <w:rsid w:val="001921AE"/>
    <w:rsid w:val="001A1E1F"/>
    <w:rsid w:val="001A71D0"/>
    <w:rsid w:val="001B13EC"/>
    <w:rsid w:val="001B3194"/>
    <w:rsid w:val="001C0B06"/>
    <w:rsid w:val="001C2357"/>
    <w:rsid w:val="001C4C7B"/>
    <w:rsid w:val="001D32CE"/>
    <w:rsid w:val="001F169E"/>
    <w:rsid w:val="001F5899"/>
    <w:rsid w:val="001F7FCD"/>
    <w:rsid w:val="002048A1"/>
    <w:rsid w:val="0020667B"/>
    <w:rsid w:val="002137B7"/>
    <w:rsid w:val="00221A16"/>
    <w:rsid w:val="00233B8C"/>
    <w:rsid w:val="002403E3"/>
    <w:rsid w:val="00247DC3"/>
    <w:rsid w:val="00257E7C"/>
    <w:rsid w:val="002715AD"/>
    <w:rsid w:val="00280D52"/>
    <w:rsid w:val="00280E66"/>
    <w:rsid w:val="00281733"/>
    <w:rsid w:val="0028178C"/>
    <w:rsid w:val="00285BA3"/>
    <w:rsid w:val="00285D01"/>
    <w:rsid w:val="00291073"/>
    <w:rsid w:val="0029459D"/>
    <w:rsid w:val="00297BCD"/>
    <w:rsid w:val="002A61DD"/>
    <w:rsid w:val="002C294A"/>
    <w:rsid w:val="002C3596"/>
    <w:rsid w:val="002C6002"/>
    <w:rsid w:val="002C7C1D"/>
    <w:rsid w:val="002D429A"/>
    <w:rsid w:val="002D484E"/>
    <w:rsid w:val="002E2B41"/>
    <w:rsid w:val="002E7520"/>
    <w:rsid w:val="002F108B"/>
    <w:rsid w:val="002F5211"/>
    <w:rsid w:val="003071D4"/>
    <w:rsid w:val="00307E68"/>
    <w:rsid w:val="003132C8"/>
    <w:rsid w:val="003302CF"/>
    <w:rsid w:val="00331399"/>
    <w:rsid w:val="003329FE"/>
    <w:rsid w:val="00336191"/>
    <w:rsid w:val="00336EE0"/>
    <w:rsid w:val="0034238E"/>
    <w:rsid w:val="00345A84"/>
    <w:rsid w:val="003533EF"/>
    <w:rsid w:val="0037627A"/>
    <w:rsid w:val="00383517"/>
    <w:rsid w:val="00384D83"/>
    <w:rsid w:val="00386D77"/>
    <w:rsid w:val="003877B3"/>
    <w:rsid w:val="0039045F"/>
    <w:rsid w:val="00391C4B"/>
    <w:rsid w:val="003942AC"/>
    <w:rsid w:val="003A6912"/>
    <w:rsid w:val="003B4D0B"/>
    <w:rsid w:val="003B5E97"/>
    <w:rsid w:val="003B7F94"/>
    <w:rsid w:val="003C030D"/>
    <w:rsid w:val="003C1601"/>
    <w:rsid w:val="003E45E7"/>
    <w:rsid w:val="003F25CB"/>
    <w:rsid w:val="00402583"/>
    <w:rsid w:val="004036B5"/>
    <w:rsid w:val="004430AA"/>
    <w:rsid w:val="00464C05"/>
    <w:rsid w:val="00470AB3"/>
    <w:rsid w:val="00470BE4"/>
    <w:rsid w:val="00471072"/>
    <w:rsid w:val="00471B0F"/>
    <w:rsid w:val="004840EF"/>
    <w:rsid w:val="00497EE9"/>
    <w:rsid w:val="004A4BE3"/>
    <w:rsid w:val="004A596F"/>
    <w:rsid w:val="004B0B1B"/>
    <w:rsid w:val="004C2F20"/>
    <w:rsid w:val="004D21A6"/>
    <w:rsid w:val="004E0AF0"/>
    <w:rsid w:val="004E386A"/>
    <w:rsid w:val="004E4EEB"/>
    <w:rsid w:val="00501116"/>
    <w:rsid w:val="00503D80"/>
    <w:rsid w:val="005269DA"/>
    <w:rsid w:val="00527DAD"/>
    <w:rsid w:val="005326A1"/>
    <w:rsid w:val="00536C62"/>
    <w:rsid w:val="00555937"/>
    <w:rsid w:val="00556FD2"/>
    <w:rsid w:val="00573CBD"/>
    <w:rsid w:val="005741AC"/>
    <w:rsid w:val="0057530A"/>
    <w:rsid w:val="0058200A"/>
    <w:rsid w:val="005916D9"/>
    <w:rsid w:val="005A0168"/>
    <w:rsid w:val="005A27E6"/>
    <w:rsid w:val="005B0B00"/>
    <w:rsid w:val="005B440B"/>
    <w:rsid w:val="005B6345"/>
    <w:rsid w:val="005C6A45"/>
    <w:rsid w:val="005D0F18"/>
    <w:rsid w:val="005F3038"/>
    <w:rsid w:val="0060037E"/>
    <w:rsid w:val="00610327"/>
    <w:rsid w:val="00610CE9"/>
    <w:rsid w:val="00616173"/>
    <w:rsid w:val="00622A3B"/>
    <w:rsid w:val="0062330E"/>
    <w:rsid w:val="00632958"/>
    <w:rsid w:val="006329F3"/>
    <w:rsid w:val="00633495"/>
    <w:rsid w:val="00634E15"/>
    <w:rsid w:val="006403B0"/>
    <w:rsid w:val="00640924"/>
    <w:rsid w:val="006541AC"/>
    <w:rsid w:val="0065704F"/>
    <w:rsid w:val="00660146"/>
    <w:rsid w:val="00672D84"/>
    <w:rsid w:val="0067714B"/>
    <w:rsid w:val="006779E4"/>
    <w:rsid w:val="00677AD1"/>
    <w:rsid w:val="00677F4D"/>
    <w:rsid w:val="00680D97"/>
    <w:rsid w:val="006810DC"/>
    <w:rsid w:val="00681FCC"/>
    <w:rsid w:val="006879C2"/>
    <w:rsid w:val="00691B0A"/>
    <w:rsid w:val="00693993"/>
    <w:rsid w:val="006A0857"/>
    <w:rsid w:val="006A0F80"/>
    <w:rsid w:val="006A6C63"/>
    <w:rsid w:val="006B1746"/>
    <w:rsid w:val="006B3CEA"/>
    <w:rsid w:val="006B67F6"/>
    <w:rsid w:val="006C23E4"/>
    <w:rsid w:val="006D71C6"/>
    <w:rsid w:val="006E2551"/>
    <w:rsid w:val="006E2A1E"/>
    <w:rsid w:val="006E3327"/>
    <w:rsid w:val="006E3428"/>
    <w:rsid w:val="006E47F2"/>
    <w:rsid w:val="006E6289"/>
    <w:rsid w:val="006E653D"/>
    <w:rsid w:val="006F0478"/>
    <w:rsid w:val="006F4D2C"/>
    <w:rsid w:val="006F7CC2"/>
    <w:rsid w:val="007047DF"/>
    <w:rsid w:val="0070686A"/>
    <w:rsid w:val="00716998"/>
    <w:rsid w:val="007212FD"/>
    <w:rsid w:val="00722A7C"/>
    <w:rsid w:val="00725C8E"/>
    <w:rsid w:val="00726261"/>
    <w:rsid w:val="0072777E"/>
    <w:rsid w:val="007357FC"/>
    <w:rsid w:val="00741487"/>
    <w:rsid w:val="0076212D"/>
    <w:rsid w:val="00783721"/>
    <w:rsid w:val="007928EA"/>
    <w:rsid w:val="00793782"/>
    <w:rsid w:val="0079459D"/>
    <w:rsid w:val="00795FE7"/>
    <w:rsid w:val="007A268C"/>
    <w:rsid w:val="007B26D0"/>
    <w:rsid w:val="007B3963"/>
    <w:rsid w:val="007C155E"/>
    <w:rsid w:val="007C17ED"/>
    <w:rsid w:val="007C46FD"/>
    <w:rsid w:val="007E1B55"/>
    <w:rsid w:val="007F20FE"/>
    <w:rsid w:val="00800E87"/>
    <w:rsid w:val="0080110C"/>
    <w:rsid w:val="008018F0"/>
    <w:rsid w:val="00804B10"/>
    <w:rsid w:val="00815534"/>
    <w:rsid w:val="008243A7"/>
    <w:rsid w:val="00826D9F"/>
    <w:rsid w:val="008271C9"/>
    <w:rsid w:val="00850ABE"/>
    <w:rsid w:val="0085553F"/>
    <w:rsid w:val="008569A9"/>
    <w:rsid w:val="0085795B"/>
    <w:rsid w:val="00861729"/>
    <w:rsid w:val="00862F6F"/>
    <w:rsid w:val="00874AEC"/>
    <w:rsid w:val="008825C3"/>
    <w:rsid w:val="008928E8"/>
    <w:rsid w:val="008A61D2"/>
    <w:rsid w:val="008B4B0C"/>
    <w:rsid w:val="008B567E"/>
    <w:rsid w:val="008C2816"/>
    <w:rsid w:val="008D3C2C"/>
    <w:rsid w:val="008E5F46"/>
    <w:rsid w:val="008F7298"/>
    <w:rsid w:val="0090162C"/>
    <w:rsid w:val="00902700"/>
    <w:rsid w:val="009107B5"/>
    <w:rsid w:val="009129C6"/>
    <w:rsid w:val="00923FB5"/>
    <w:rsid w:val="00932222"/>
    <w:rsid w:val="00933EC4"/>
    <w:rsid w:val="0093472E"/>
    <w:rsid w:val="00951D10"/>
    <w:rsid w:val="0095493F"/>
    <w:rsid w:val="00955CB6"/>
    <w:rsid w:val="009577B6"/>
    <w:rsid w:val="00961BF1"/>
    <w:rsid w:val="00973AC3"/>
    <w:rsid w:val="009766E6"/>
    <w:rsid w:val="009875D1"/>
    <w:rsid w:val="00992A29"/>
    <w:rsid w:val="0099556E"/>
    <w:rsid w:val="009A0010"/>
    <w:rsid w:val="009B0AC7"/>
    <w:rsid w:val="009B4E09"/>
    <w:rsid w:val="009C34AA"/>
    <w:rsid w:val="009D4D2D"/>
    <w:rsid w:val="009D5CBB"/>
    <w:rsid w:val="009D7277"/>
    <w:rsid w:val="009E3844"/>
    <w:rsid w:val="009E6530"/>
    <w:rsid w:val="009F1653"/>
    <w:rsid w:val="009F58A0"/>
    <w:rsid w:val="00A009C7"/>
    <w:rsid w:val="00A118D4"/>
    <w:rsid w:val="00A215C0"/>
    <w:rsid w:val="00A21AA7"/>
    <w:rsid w:val="00A2401E"/>
    <w:rsid w:val="00A30098"/>
    <w:rsid w:val="00A30D31"/>
    <w:rsid w:val="00A3308A"/>
    <w:rsid w:val="00A43F02"/>
    <w:rsid w:val="00A45F78"/>
    <w:rsid w:val="00A56FBD"/>
    <w:rsid w:val="00A70A77"/>
    <w:rsid w:val="00A858C3"/>
    <w:rsid w:val="00A92256"/>
    <w:rsid w:val="00A95BBB"/>
    <w:rsid w:val="00AE2C0E"/>
    <w:rsid w:val="00AE3E82"/>
    <w:rsid w:val="00AE59FA"/>
    <w:rsid w:val="00AF37F1"/>
    <w:rsid w:val="00B03059"/>
    <w:rsid w:val="00B05F6A"/>
    <w:rsid w:val="00B160DE"/>
    <w:rsid w:val="00B21157"/>
    <w:rsid w:val="00B22C22"/>
    <w:rsid w:val="00B250A9"/>
    <w:rsid w:val="00B26DB0"/>
    <w:rsid w:val="00B30832"/>
    <w:rsid w:val="00B42363"/>
    <w:rsid w:val="00B53189"/>
    <w:rsid w:val="00B55C7F"/>
    <w:rsid w:val="00B573B2"/>
    <w:rsid w:val="00B63E34"/>
    <w:rsid w:val="00B811B8"/>
    <w:rsid w:val="00BA1182"/>
    <w:rsid w:val="00BA2049"/>
    <w:rsid w:val="00BA5284"/>
    <w:rsid w:val="00BC6A8C"/>
    <w:rsid w:val="00BF42CF"/>
    <w:rsid w:val="00C053EE"/>
    <w:rsid w:val="00C07741"/>
    <w:rsid w:val="00C11278"/>
    <w:rsid w:val="00C1310A"/>
    <w:rsid w:val="00C15F9A"/>
    <w:rsid w:val="00C1786C"/>
    <w:rsid w:val="00C23C4D"/>
    <w:rsid w:val="00C25BA0"/>
    <w:rsid w:val="00C32DEB"/>
    <w:rsid w:val="00C36B1A"/>
    <w:rsid w:val="00C4069F"/>
    <w:rsid w:val="00C408EA"/>
    <w:rsid w:val="00C45C7E"/>
    <w:rsid w:val="00C53629"/>
    <w:rsid w:val="00C5624E"/>
    <w:rsid w:val="00C570ED"/>
    <w:rsid w:val="00C605AC"/>
    <w:rsid w:val="00C66B82"/>
    <w:rsid w:val="00C67BEA"/>
    <w:rsid w:val="00C67F90"/>
    <w:rsid w:val="00C71817"/>
    <w:rsid w:val="00C73886"/>
    <w:rsid w:val="00C86F76"/>
    <w:rsid w:val="00C93D76"/>
    <w:rsid w:val="00C943A9"/>
    <w:rsid w:val="00CA151B"/>
    <w:rsid w:val="00CA18C3"/>
    <w:rsid w:val="00CA5F0B"/>
    <w:rsid w:val="00CB18BB"/>
    <w:rsid w:val="00CB21DB"/>
    <w:rsid w:val="00CB564A"/>
    <w:rsid w:val="00CB793A"/>
    <w:rsid w:val="00CD1C0A"/>
    <w:rsid w:val="00CD21C8"/>
    <w:rsid w:val="00CD3804"/>
    <w:rsid w:val="00CE37A6"/>
    <w:rsid w:val="00D02263"/>
    <w:rsid w:val="00D02616"/>
    <w:rsid w:val="00D11927"/>
    <w:rsid w:val="00D16009"/>
    <w:rsid w:val="00D24EFE"/>
    <w:rsid w:val="00D30322"/>
    <w:rsid w:val="00D33A78"/>
    <w:rsid w:val="00D50FE6"/>
    <w:rsid w:val="00D510CF"/>
    <w:rsid w:val="00D57526"/>
    <w:rsid w:val="00D67556"/>
    <w:rsid w:val="00D7448F"/>
    <w:rsid w:val="00D76369"/>
    <w:rsid w:val="00D861EA"/>
    <w:rsid w:val="00D941DC"/>
    <w:rsid w:val="00DA7477"/>
    <w:rsid w:val="00DC1887"/>
    <w:rsid w:val="00DC4DF8"/>
    <w:rsid w:val="00DC7B88"/>
    <w:rsid w:val="00DC7E9F"/>
    <w:rsid w:val="00DE50F6"/>
    <w:rsid w:val="00DF490C"/>
    <w:rsid w:val="00DF74D9"/>
    <w:rsid w:val="00E10090"/>
    <w:rsid w:val="00E12680"/>
    <w:rsid w:val="00E239CA"/>
    <w:rsid w:val="00E246B8"/>
    <w:rsid w:val="00E327FE"/>
    <w:rsid w:val="00E44B9F"/>
    <w:rsid w:val="00E51122"/>
    <w:rsid w:val="00E516FF"/>
    <w:rsid w:val="00E56228"/>
    <w:rsid w:val="00E64C0C"/>
    <w:rsid w:val="00E724CF"/>
    <w:rsid w:val="00E8158C"/>
    <w:rsid w:val="00E86371"/>
    <w:rsid w:val="00E95F64"/>
    <w:rsid w:val="00EA1DA0"/>
    <w:rsid w:val="00EA3CEC"/>
    <w:rsid w:val="00EB54F4"/>
    <w:rsid w:val="00EB5B39"/>
    <w:rsid w:val="00EC2F34"/>
    <w:rsid w:val="00EC7FC1"/>
    <w:rsid w:val="00ED46F3"/>
    <w:rsid w:val="00EE59E5"/>
    <w:rsid w:val="00EF32E2"/>
    <w:rsid w:val="00EF6BAD"/>
    <w:rsid w:val="00EF7550"/>
    <w:rsid w:val="00F0140E"/>
    <w:rsid w:val="00F0673C"/>
    <w:rsid w:val="00F0728D"/>
    <w:rsid w:val="00F13FBC"/>
    <w:rsid w:val="00F15E73"/>
    <w:rsid w:val="00F34532"/>
    <w:rsid w:val="00F416AD"/>
    <w:rsid w:val="00F4476D"/>
    <w:rsid w:val="00F56826"/>
    <w:rsid w:val="00F57360"/>
    <w:rsid w:val="00F60D8B"/>
    <w:rsid w:val="00F6654A"/>
    <w:rsid w:val="00F66AC5"/>
    <w:rsid w:val="00F72CFE"/>
    <w:rsid w:val="00F77DCE"/>
    <w:rsid w:val="00F80F5B"/>
    <w:rsid w:val="00F8464A"/>
    <w:rsid w:val="00F9191E"/>
    <w:rsid w:val="00F95708"/>
    <w:rsid w:val="00F95FA4"/>
    <w:rsid w:val="00F96C94"/>
    <w:rsid w:val="00FA01E1"/>
    <w:rsid w:val="00FA4FBE"/>
    <w:rsid w:val="00FC4A5B"/>
    <w:rsid w:val="00FD07E2"/>
    <w:rsid w:val="00FD0FD2"/>
    <w:rsid w:val="00FD46FA"/>
    <w:rsid w:val="00FE23D6"/>
    <w:rsid w:val="00FE3EC1"/>
    <w:rsid w:val="00FE4B23"/>
    <w:rsid w:val="00FF3AC5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C6F2"/>
  <w15:docId w15:val="{918445E7-182C-42DB-A73D-E2DE8806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0"/>
    <w:rsid w:val="00115444"/>
    <w:rPr>
      <w:color w:val="0000FF"/>
      <w:u w:val="single"/>
    </w:rPr>
  </w:style>
  <w:style w:type="paragraph" w:customStyle="1" w:styleId="Standard">
    <w:name w:val="Standard"/>
    <w:rsid w:val="0085795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1448C-5E9D-4766-B14C-5D451259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Сенчук Ирина Леонидовна</cp:lastModifiedBy>
  <cp:revision>2</cp:revision>
  <cp:lastPrinted>2022-10-25T11:24:00Z</cp:lastPrinted>
  <dcterms:created xsi:type="dcterms:W3CDTF">2023-06-15T12:04:00Z</dcterms:created>
  <dcterms:modified xsi:type="dcterms:W3CDTF">2023-06-15T12:04:00Z</dcterms:modified>
</cp:coreProperties>
</file>